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A" w:rsidRDefault="001F3C8A" w:rsidP="001F3C8A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附件：</w:t>
      </w:r>
    </w:p>
    <w:p w:rsidR="001F3C8A" w:rsidRDefault="001F3C8A" w:rsidP="001F3C8A">
      <w:pPr>
        <w:widowControl/>
        <w:shd w:val="clear" w:color="auto" w:fill="FFFFFF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 w:rsidR="001F3C8A" w:rsidRDefault="001F3C8A" w:rsidP="001F3C8A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乐山市2019年度科技计划项目申报指南</w:t>
      </w:r>
    </w:p>
    <w:p w:rsidR="001F3C8A" w:rsidRDefault="001F3C8A" w:rsidP="001F3C8A">
      <w:pPr>
        <w:shd w:val="clear" w:color="auto" w:fill="FFFFFF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</w:t>
      </w:r>
    </w:p>
    <w:p w:rsidR="001F3C8A" w:rsidRDefault="001F3C8A" w:rsidP="001F3C8A">
      <w:pPr>
        <w:adjustRightInd w:val="0"/>
        <w:spacing w:line="480" w:lineRule="exact"/>
        <w:ind w:firstLine="63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2019年度申报的科技计划项目，在指南重点支持范围内、技术和财务专家评审、社会经济效益等方面较突出的，将列入科技计划项目备选库，根据科技预算下达情况予以优先支持。 </w:t>
      </w:r>
    </w:p>
    <w:p w:rsidR="001F3C8A" w:rsidRDefault="001F3C8A" w:rsidP="001F3C8A">
      <w:pPr>
        <w:adjustRightInd w:val="0"/>
        <w:spacing w:line="560" w:lineRule="exact"/>
        <w:ind w:firstLineChars="200" w:firstLine="640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>工业科技领域</w:t>
      </w:r>
    </w:p>
    <w:p w:rsidR="001F3C8A" w:rsidRDefault="001F3C8A" w:rsidP="001F3C8A">
      <w:pPr>
        <w:adjustRightInd w:val="0"/>
        <w:spacing w:line="480" w:lineRule="exact"/>
        <w:ind w:left="640"/>
        <w:rPr>
          <w:rFonts w:ascii="楷体" w:eastAsia="楷体" w:hint="eastAsia"/>
          <w:kern w:val="0"/>
          <w:sz w:val="32"/>
          <w:szCs w:val="32"/>
        </w:rPr>
      </w:pPr>
      <w:r>
        <w:rPr>
          <w:rFonts w:ascii="楷体" w:eastAsia="楷体" w:hint="eastAsia"/>
          <w:kern w:val="0"/>
          <w:sz w:val="32"/>
          <w:szCs w:val="32"/>
        </w:rPr>
        <w:t>（一）多晶硅及光电信息</w:t>
      </w:r>
    </w:p>
    <w:p w:rsidR="001F3C8A" w:rsidRDefault="001F3C8A" w:rsidP="001F3C8A">
      <w:pPr>
        <w:adjustRightInd w:val="0"/>
        <w:spacing w:line="480" w:lineRule="exact"/>
        <w:ind w:firstLine="63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支持多晶硅生产过程中物料综合利用关键共性技术；超纯多晶硅（电子二级以上）研发、中试和产业化；多晶硅、单晶硅切片、电池片、组件生产过程中节能降耗关键共性技术；利用国产超纯多晶硅开发半导体产品示范。</w:t>
      </w:r>
    </w:p>
    <w:p w:rsidR="001F3C8A" w:rsidRDefault="001F3C8A" w:rsidP="001F3C8A">
      <w:pPr>
        <w:adjustRightInd w:val="0"/>
        <w:spacing w:line="480" w:lineRule="exact"/>
        <w:ind w:left="640"/>
        <w:rPr>
          <w:rFonts w:ascii="楷体" w:eastAsia="楷体" w:hint="eastAsia"/>
          <w:bCs/>
          <w:kern w:val="0"/>
          <w:sz w:val="32"/>
          <w:szCs w:val="32"/>
        </w:rPr>
      </w:pPr>
      <w:r>
        <w:rPr>
          <w:rFonts w:ascii="楷体" w:eastAsia="楷体" w:hint="eastAsia"/>
          <w:bCs/>
          <w:kern w:val="0"/>
          <w:sz w:val="32"/>
          <w:szCs w:val="32"/>
        </w:rPr>
        <w:t>（二）数字经济</w:t>
      </w:r>
    </w:p>
    <w:p w:rsidR="001F3C8A" w:rsidRDefault="001F3C8A" w:rsidP="001F3C8A">
      <w:pPr>
        <w:adjustRightInd w:val="0"/>
        <w:spacing w:line="480" w:lineRule="exact"/>
        <w:ind w:firstLine="63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支持数字经济产业发展，</w:t>
      </w:r>
      <w:r>
        <w:rPr>
          <w:rFonts w:ascii="仿宋_GB2312" w:eastAsia="仿宋_GB2312" w:hint="eastAsia"/>
          <w:kern w:val="0"/>
          <w:sz w:val="32"/>
          <w:szCs w:val="32"/>
        </w:rPr>
        <w:t>围绕“数字经济+文化创意”总部产业链，着力打造新一代信息技术、人工智能、数字文创、科技金融和科技服务等产业，推动“乐山制造”向“乐山智造”跨越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。支持乐山</w:t>
      </w:r>
      <w:r>
        <w:rPr>
          <w:rFonts w:ascii="仿宋_GB2312" w:eastAsia="仿宋_GB2312" w:hint="eastAsia"/>
          <w:kern w:val="0"/>
          <w:sz w:val="32"/>
          <w:szCs w:val="32"/>
        </w:rPr>
        <w:t>高新区未来科技城建设。</w:t>
      </w:r>
    </w:p>
    <w:p w:rsidR="001F3C8A" w:rsidRDefault="001F3C8A" w:rsidP="001F3C8A">
      <w:pPr>
        <w:adjustRightInd w:val="0"/>
        <w:spacing w:line="480" w:lineRule="exact"/>
        <w:ind w:left="640"/>
        <w:rPr>
          <w:rFonts w:ascii="楷体" w:eastAsia="楷体" w:hint="eastAsia"/>
          <w:kern w:val="0"/>
          <w:sz w:val="32"/>
          <w:szCs w:val="32"/>
        </w:rPr>
      </w:pPr>
      <w:r>
        <w:rPr>
          <w:rFonts w:ascii="楷体" w:eastAsia="楷体" w:hint="eastAsia"/>
          <w:kern w:val="0"/>
          <w:sz w:val="32"/>
          <w:szCs w:val="32"/>
        </w:rPr>
        <w:t>（三）电子信息</w:t>
      </w:r>
    </w:p>
    <w:p w:rsidR="001F3C8A" w:rsidRDefault="001F3C8A" w:rsidP="001F3C8A">
      <w:pPr>
        <w:adjustRightInd w:val="0"/>
        <w:spacing w:line="48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支持高端集成电路与特色电子器件，信息安全技术及产品，互联网+技术与产品，物联网技术与产品，云计算服务、大数据处理相关产品，行业应用软件服务和信息安全技术等。</w:t>
      </w:r>
    </w:p>
    <w:p w:rsidR="001F3C8A" w:rsidRDefault="001F3C8A" w:rsidP="001F3C8A">
      <w:pPr>
        <w:adjustRightInd w:val="0"/>
        <w:spacing w:line="480" w:lineRule="exact"/>
        <w:ind w:left="640"/>
        <w:rPr>
          <w:rFonts w:ascii="楷体" w:eastAsia="楷体" w:hint="eastAsia"/>
          <w:bCs/>
          <w:kern w:val="0"/>
          <w:sz w:val="32"/>
          <w:szCs w:val="32"/>
        </w:rPr>
      </w:pPr>
      <w:r>
        <w:rPr>
          <w:rFonts w:ascii="楷体" w:eastAsia="楷体" w:hint="eastAsia"/>
          <w:bCs/>
          <w:kern w:val="0"/>
          <w:sz w:val="32"/>
          <w:szCs w:val="32"/>
        </w:rPr>
        <w:t>（四）军民融合</w:t>
      </w:r>
    </w:p>
    <w:p w:rsidR="001F3C8A" w:rsidRDefault="001F3C8A" w:rsidP="001F3C8A">
      <w:pPr>
        <w:adjustRightInd w:val="0"/>
        <w:spacing w:line="48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支持军工企事业单位发展民用产品和军民两用产品，民用单位发展军民两用产品的军民结合产业化，国防科技成果转化和公共服务平台建设。</w:t>
      </w:r>
    </w:p>
    <w:p w:rsidR="001F3C8A" w:rsidRDefault="001F3C8A" w:rsidP="001F3C8A">
      <w:pPr>
        <w:adjustRightInd w:val="0"/>
        <w:spacing w:line="480" w:lineRule="exact"/>
        <w:ind w:left="640"/>
        <w:rPr>
          <w:rFonts w:ascii="楷体" w:eastAsia="楷体" w:hint="eastAsia"/>
          <w:bCs/>
          <w:kern w:val="0"/>
          <w:sz w:val="32"/>
          <w:szCs w:val="32"/>
        </w:rPr>
      </w:pPr>
      <w:r>
        <w:rPr>
          <w:rFonts w:ascii="楷体" w:eastAsia="楷体" w:hint="eastAsia"/>
          <w:bCs/>
          <w:kern w:val="0"/>
          <w:sz w:val="32"/>
          <w:szCs w:val="32"/>
        </w:rPr>
        <w:t>（五）能源化工</w:t>
      </w:r>
    </w:p>
    <w:p w:rsidR="001F3C8A" w:rsidRDefault="001F3C8A" w:rsidP="001F3C8A">
      <w:pPr>
        <w:adjustRightInd w:val="0"/>
        <w:spacing w:line="48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kern w:val="0"/>
          <w:sz w:val="32"/>
          <w:szCs w:val="32"/>
        </w:rPr>
        <w:t>太阳能综合利用技术、设备及相关产品，地热能综合利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用技术、设备及相关产品，风能综合利用技术、设备及相关产品，生物质能综合利用技术、设备及相关产品，先进高效水电技术与装备，储能及分布式能源技术与产品、智能电网技术与装备</w:t>
      </w:r>
      <w:bookmarkStart w:id="0" w:name="_Toc224728015"/>
      <w:bookmarkStart w:id="1" w:name="_Toc162079461"/>
      <w:bookmarkStart w:id="2" w:name="_Toc162083301"/>
      <w:bookmarkStart w:id="3" w:name="_Toc162079213"/>
      <w:bookmarkStart w:id="4" w:name="_Toc161825524"/>
      <w:bookmarkStart w:id="5" w:name="_Toc161825133"/>
      <w:bookmarkStart w:id="6" w:name="_Toc161819208"/>
      <w:bookmarkStart w:id="7" w:name="_Toc161816830"/>
      <w:bookmarkStart w:id="8" w:name="_Toc161818730"/>
      <w:bookmarkStart w:id="9" w:name="_Toc161809013"/>
      <w:bookmarkStart w:id="10" w:name="_Toc161815900"/>
      <w:bookmarkStart w:id="11" w:name="_Toc161808729"/>
      <w:bookmarkStart w:id="12" w:name="_Toc161805698"/>
      <w:bookmarkStart w:id="13" w:name="_Toc161805480"/>
      <w:bookmarkStart w:id="14" w:name="_Toc161805261"/>
      <w:bookmarkStart w:id="15" w:name="_Toc161804685"/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bCs/>
          <w:kern w:val="0"/>
          <w:sz w:val="32"/>
          <w:szCs w:val="32"/>
        </w:rPr>
        <w:t>新能源汽车制造关键技术与产品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仿宋_GB2312" w:eastAsia="仿宋_GB2312" w:hint="eastAsia"/>
          <w:bCs/>
          <w:kern w:val="0"/>
          <w:sz w:val="32"/>
          <w:szCs w:val="32"/>
        </w:rPr>
        <w:t>，精细化学品</w:t>
      </w:r>
      <w:r>
        <w:rPr>
          <w:rFonts w:ascii="仿宋_GB2312" w:eastAsia="仿宋_GB2312" w:hint="eastAsia"/>
          <w:kern w:val="0"/>
          <w:sz w:val="32"/>
          <w:szCs w:val="32"/>
        </w:rPr>
        <w:t>等。</w:t>
      </w:r>
    </w:p>
    <w:p w:rsidR="001F3C8A" w:rsidRDefault="001F3C8A" w:rsidP="001F3C8A">
      <w:pPr>
        <w:adjustRightInd w:val="0"/>
        <w:spacing w:line="480" w:lineRule="exact"/>
        <w:ind w:left="640"/>
        <w:rPr>
          <w:rFonts w:ascii="楷体" w:eastAsia="楷体" w:hint="eastAsia"/>
          <w:bCs/>
          <w:kern w:val="0"/>
          <w:sz w:val="32"/>
          <w:szCs w:val="32"/>
        </w:rPr>
      </w:pPr>
      <w:r>
        <w:rPr>
          <w:rFonts w:ascii="楷体" w:eastAsia="楷体" w:hint="eastAsia"/>
          <w:bCs/>
          <w:kern w:val="0"/>
          <w:sz w:val="32"/>
          <w:szCs w:val="32"/>
        </w:rPr>
        <w:t>（六）先进材料</w:t>
      </w:r>
    </w:p>
    <w:p w:rsidR="001F3C8A" w:rsidRDefault="001F3C8A" w:rsidP="001F3C8A">
      <w:pPr>
        <w:adjustRightInd w:val="0"/>
        <w:spacing w:line="48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kern w:val="0"/>
          <w:sz w:val="32"/>
          <w:szCs w:val="32"/>
        </w:rPr>
        <w:t>先进金属材料、非金属材料、钒钛与稀土新材料，电子信息与新能源材料，先进建筑材料，碳纤维及石墨烯材料。</w:t>
      </w:r>
    </w:p>
    <w:p w:rsidR="001F3C8A" w:rsidRDefault="001F3C8A" w:rsidP="001F3C8A">
      <w:pPr>
        <w:adjustRightInd w:val="0"/>
        <w:spacing w:line="480" w:lineRule="exact"/>
        <w:ind w:left="640"/>
        <w:rPr>
          <w:rFonts w:ascii="楷体" w:eastAsia="楷体" w:hint="eastAsia"/>
          <w:bCs/>
          <w:kern w:val="0"/>
          <w:sz w:val="32"/>
          <w:szCs w:val="32"/>
        </w:rPr>
      </w:pPr>
      <w:r>
        <w:rPr>
          <w:rFonts w:ascii="楷体" w:eastAsia="楷体" w:hint="eastAsia"/>
          <w:bCs/>
          <w:kern w:val="0"/>
          <w:sz w:val="32"/>
          <w:szCs w:val="32"/>
        </w:rPr>
        <w:t>（</w:t>
      </w:r>
      <w:bookmarkStart w:id="16" w:name="_Toc224727992"/>
      <w:r>
        <w:rPr>
          <w:rFonts w:ascii="楷体" w:eastAsia="楷体" w:hint="eastAsia"/>
          <w:bCs/>
          <w:kern w:val="0"/>
          <w:sz w:val="32"/>
          <w:szCs w:val="32"/>
        </w:rPr>
        <w:t>七）装备制造</w:t>
      </w:r>
    </w:p>
    <w:p w:rsidR="001F3C8A" w:rsidRDefault="001F3C8A" w:rsidP="001F3C8A">
      <w:pPr>
        <w:adjustRightInd w:val="0"/>
        <w:spacing w:line="480" w:lineRule="exact"/>
        <w:ind w:firstLineChars="200" w:firstLine="640"/>
        <w:rPr>
          <w:rFonts w:ascii="仿宋_GB2312" w:eastAsia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支持</w:t>
      </w:r>
      <w:bookmarkStart w:id="17" w:name="_Toc224727994"/>
      <w:bookmarkStart w:id="18" w:name="_Toc162079441"/>
      <w:bookmarkStart w:id="19" w:name="_Toc162083281"/>
      <w:bookmarkStart w:id="20" w:name="_Toc162079193"/>
      <w:bookmarkStart w:id="21" w:name="_Toc161825504"/>
      <w:bookmarkStart w:id="22" w:name="_Toc161825113"/>
      <w:bookmarkStart w:id="23" w:name="_Toc161819188"/>
      <w:bookmarkStart w:id="24" w:name="_Toc161818710"/>
      <w:bookmarkStart w:id="25" w:name="_Toc161816810"/>
      <w:bookmarkStart w:id="26" w:name="_Toc161808993"/>
      <w:bookmarkStart w:id="27" w:name="_Toc161815880"/>
      <w:bookmarkStart w:id="28" w:name="_Toc161808709"/>
      <w:bookmarkStart w:id="29" w:name="_Toc161805678"/>
      <w:bookmarkStart w:id="30" w:name="_Toc161805460"/>
      <w:bookmarkStart w:id="31" w:name="_Toc161805241"/>
      <w:bookmarkStart w:id="32" w:name="_Toc161804665"/>
      <w:bookmarkEnd w:id="16"/>
      <w:r>
        <w:rPr>
          <w:rFonts w:ascii="仿宋_GB2312" w:eastAsia="仿宋_GB2312" w:hint="eastAsia"/>
          <w:bCs/>
          <w:kern w:val="0"/>
          <w:sz w:val="32"/>
          <w:szCs w:val="32"/>
        </w:rPr>
        <w:t>智能制造装备</w:t>
      </w:r>
      <w:bookmarkStart w:id="33" w:name="_Toc224727995"/>
      <w:bookmarkStart w:id="34" w:name="_Toc162079442"/>
      <w:bookmarkStart w:id="35" w:name="_Toc162083282"/>
      <w:bookmarkStart w:id="36" w:name="_Toc162079194"/>
      <w:bookmarkStart w:id="37" w:name="_Toc161825505"/>
      <w:bookmarkStart w:id="38" w:name="_Toc161825114"/>
      <w:bookmarkStart w:id="39" w:name="_Toc161819189"/>
      <w:bookmarkStart w:id="40" w:name="_Toc161818711"/>
      <w:bookmarkStart w:id="41" w:name="_Toc161816811"/>
      <w:bookmarkStart w:id="42" w:name="_Toc161815881"/>
      <w:bookmarkStart w:id="43" w:name="_Toc161808994"/>
      <w:bookmarkStart w:id="44" w:name="_Toc161808710"/>
      <w:bookmarkStart w:id="45" w:name="_Toc161805679"/>
      <w:bookmarkStart w:id="46" w:name="_Toc161805461"/>
      <w:bookmarkStart w:id="47" w:name="_Toc161805242"/>
      <w:bookmarkStart w:id="48" w:name="_Toc16180466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仿宋_GB2312" w:eastAsia="仿宋_GB2312" w:hint="eastAsia"/>
          <w:bCs/>
          <w:kern w:val="0"/>
          <w:sz w:val="32"/>
          <w:szCs w:val="32"/>
        </w:rPr>
        <w:t>，新型机械产品，工业生产过程控制系统，大型工程施工成套设备及关键技术，高端配套基础零部件及关键技术</w:t>
      </w:r>
      <w:bookmarkStart w:id="49" w:name="_Toc22472802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仿宋_GB2312" w:eastAsia="仿宋_GB2312" w:hint="eastAsia"/>
          <w:bCs/>
          <w:kern w:val="0"/>
          <w:sz w:val="32"/>
          <w:szCs w:val="32"/>
        </w:rPr>
        <w:t>，高性能、智能化仪器仪表，新型机械产品等。</w:t>
      </w:r>
      <w:bookmarkEnd w:id="49"/>
    </w:p>
    <w:p w:rsidR="001F3C8A" w:rsidRDefault="001F3C8A" w:rsidP="001F3C8A">
      <w:pPr>
        <w:spacing w:line="560" w:lineRule="exact"/>
        <w:ind w:left="717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二、农业科技领域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（一）农村重点研究项目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支持农业优质新品种、新技术、绿色防控、精深加工、环境控制、贮运保鲜、农业机械、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互联网＋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、土壤地图推广应用等技术集成研究与示范。提升农业产业发展质量和效益。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（二）科技扶贫项目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此类项目仅限三县一区申报。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支持贫困地区围绕茶叶、蔬菜、中药材、林竹、猕猴桃、食用菌、养牛、养羊等产业发展需求，转化推广农业新品种，农作物优质丰产栽培、畜禽健康养殖、高效机械化生产等先进技术的转化运用、建科技扶贫示范基地、科技创新服务平台等，带动贫困户脱贫增收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（三）农业科技园区创新项目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围绕园区主导产业高质量发展，促进现代农业产业链条化、品牌化发展，推动生物技术、信息技术、智慧农业等高新技术在</w:t>
      </w:r>
      <w:r>
        <w:rPr>
          <w:rFonts w:eastAsia="仿宋_GB2312"/>
          <w:sz w:val="32"/>
          <w:szCs w:val="32"/>
        </w:rPr>
        <w:lastRenderedPageBreak/>
        <w:t>园区中的应用，转化推广农业科技成果，培育农业高新技术企业，建设产业技术创新示范基地，搭建科技创新和成果转化平台，打造特色知名品牌，推动产业链向中高端延伸，支撑农业高新技术产业集群建设。支持星创天地建设，带动农业的创新创业。</w:t>
      </w:r>
    </w:p>
    <w:p w:rsidR="001F3C8A" w:rsidRDefault="001F3C8A" w:rsidP="001F3C8A">
      <w:pPr>
        <w:spacing w:line="560" w:lineRule="exact"/>
        <w:ind w:firstLineChars="224" w:firstLine="72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>三、社会发展领域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（一）中医药及生物医药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中医药。中药材综合开发，重点开展新型中药饮片、提取物、配方颗粒、中成药及保健品；中医药治未病研究，针对乐山地区亚健康人群，重点开展针对睡眠障碍、焦虑等通过中医或中西医结合进行预防干预和治疗研究；支持开展中药材规范化种植、中医药特色资源利用；研究中药动物药资源保育恢复、饲养繁殖、优质高产的关键技术等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新药创制。研发具有自主知识产权的创新药物和仿创结合的改良新药；开展新药创制关键技术研究，获得改善药物吸收、代谢、毒性先导结构优化、高通量药物筛选、综合集成高效药物发现等新技术，研制与引进临床急需，应用前景广阔的缓释、控释、靶向等新制剂，研制可吸收性医用材料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重大疾病防治。艾滋病、恶性肿瘤、心脑血管疾病、血吸虫病、呼吸系统以及病毒性肝炎等重大疾病的早期预防及干预的规范化、个体化、综合治疗关键技术和治疗方案等新技术、新疗法和新产品研究。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（二）医疗卫生与人口健康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围绕严重危害人民群众健康的常见病、多发病，以病种为对象，围绕发病机理、预防、诊断技术、个体化治疗、综合防治、</w:t>
      </w:r>
      <w:r>
        <w:rPr>
          <w:rFonts w:eastAsia="仿宋_GB2312"/>
          <w:sz w:val="32"/>
          <w:szCs w:val="32"/>
        </w:rPr>
        <w:lastRenderedPageBreak/>
        <w:t>康复技术等方面急需突破的技术难题进行综合性创新研究</w:t>
      </w:r>
      <w:r>
        <w:rPr>
          <w:rFonts w:eastAsia="仿宋_GB2312"/>
          <w:spacing w:val="21"/>
          <w:sz w:val="32"/>
          <w:szCs w:val="32"/>
        </w:rPr>
        <w:t>；对</w:t>
      </w:r>
      <w:r>
        <w:rPr>
          <w:rFonts w:eastAsia="仿宋_GB2312"/>
          <w:sz w:val="32"/>
          <w:szCs w:val="32"/>
        </w:rPr>
        <w:t>重大疾病的发病机制、疾病预防、早期干预、应急处置、健康管理等方面开展的基础性或临床应用研究，形成指导临床实践的技术、产品、方法、方案或诊疗指南，提高疾病的防控水平和治疗能力；运用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/>
          <w:sz w:val="32"/>
          <w:szCs w:val="32"/>
        </w:rPr>
        <w:t>等实现医疗机构信息共享与服务协同，推广适宜技术与临床规范。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（三）资源环保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生态保护。支持以科研单位为依托、以企业创新为重点的产学研结合创新，围绕我市资源与环境领域的重点技术问题，重点开展资源保护与综合利用；自然资源资产管理绩效评估关键技术研究；区域性环境污染综合防治关键技术的研究与引进示范；垃圾智能分类关键技术研究与示范；集中式饮用水水源地保护技术研究与示范；优良水体维护与保持技术研究等。</w:t>
      </w:r>
    </w:p>
    <w:p w:rsidR="001F3C8A" w:rsidRDefault="001F3C8A" w:rsidP="001F3C8A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环境治理。研究开发钢铁、有色、化工、燃煤等工业烟气、尾气等多种污染物高效综合减排、治理与利用技术；开发烟气高效除尘、低位热能利用与低温脱硝成套技术装备；针对炼钢过程中的节能需求，利用炼钢过程中产生大量的熔融钢渣，开发安全高效的系列特种余热蒸汽锅炉成套技术；</w:t>
      </w:r>
      <w:r>
        <w:rPr>
          <w:rFonts w:eastAsia="仿宋_GB2312"/>
          <w:bCs/>
          <w:sz w:val="32"/>
          <w:szCs w:val="32"/>
        </w:rPr>
        <w:t>城市污水处理厂污泥高效低耗处理处置技术装备及工程示范。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（四）公共安全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安全生产技术。矿山安全生产关键技术；烟花爆竹安全生产关键技术；化工、建筑等生产行业安全生产保障技术与安全监控技术；公共安全大数据一体化系统研究与应用。</w:t>
      </w:r>
      <w:r>
        <w:rPr>
          <w:rFonts w:eastAsia="仿宋_GB2312"/>
          <w:sz w:val="32"/>
          <w:szCs w:val="32"/>
        </w:rPr>
        <w:t xml:space="preserve"> 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减灾、防灾关键技术。地震、暴雨、干旱、泥石流等自然</w:t>
      </w:r>
      <w:r>
        <w:rPr>
          <w:rFonts w:eastAsia="仿宋_GB2312"/>
          <w:sz w:val="32"/>
          <w:szCs w:val="32"/>
        </w:rPr>
        <w:lastRenderedPageBreak/>
        <w:t>灾害监测技术；预警预报技术与实时监控技术；抗震设防技术；防洪建筑工程技术；重大灾害应急处理、灾损预测与评估技术；水利建筑工程安全监测预警技术；自然灾害数据库及防灾决策指挥信息系统技术。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食品安全技术。食品中农药残留、食品添加剂与饲料添加剂、环境持久性有毒污染物、违禁化学品、食源性疾病和人兽共患病源体的监测监控、溯源关键技术与仪器设备；食品安全标准体系及技术措施研究。</w:t>
      </w:r>
    </w:p>
    <w:p w:rsidR="001F3C8A" w:rsidRDefault="001F3C8A" w:rsidP="001F3C8A">
      <w:pPr>
        <w:adjustRightInd w:val="0"/>
        <w:snapToGrid w:val="0"/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（五）文化旅游</w:t>
      </w:r>
    </w:p>
    <w:p w:rsidR="001F3C8A" w:rsidRDefault="001F3C8A" w:rsidP="001F3C8A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支持围绕乐山市建设国际旅游目的地城市的科普旅游宣传、科技旅游保健品的开发、智慧旅游软、硬件开发。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（六）科普培训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科普能力建设，培养和储备人才，提高各级科技管理干部和农村科技人员水平与科技素质；支持省级科普基地创新示范。</w:t>
      </w:r>
    </w:p>
    <w:p w:rsidR="001F3C8A" w:rsidRDefault="001F3C8A" w:rsidP="001F3C8A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（七）智慧城市建设</w:t>
      </w:r>
    </w:p>
    <w:p w:rsidR="001F3C8A" w:rsidRDefault="001F3C8A" w:rsidP="001F3C8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智能化基础设施建设、新兴智慧产业选择与培育、传统产业智慧改造、智慧化城市生活环境、智能化公共服务体系等建设。</w:t>
      </w:r>
    </w:p>
    <w:p w:rsidR="001F3C8A" w:rsidRDefault="001F3C8A" w:rsidP="001F3C8A">
      <w:pPr>
        <w:adjustRightInd w:val="0"/>
        <w:snapToGrid w:val="0"/>
        <w:spacing w:line="560" w:lineRule="exact"/>
        <w:ind w:firstLineChars="200" w:firstLine="643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>四、软科学研究</w:t>
      </w:r>
    </w:p>
    <w:p w:rsidR="001F3C8A" w:rsidRDefault="001F3C8A" w:rsidP="001F3C8A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围绕全市实施创新驱动发展战略，开展理念创新、体制机制创新、科技服务创新、管理创新等研究，提出对策举措，为促进产业转型升级、社会和谐进步，加快建设创新型乐山献智献策。</w:t>
      </w:r>
    </w:p>
    <w:p w:rsidR="001F3C8A" w:rsidRDefault="001F3C8A" w:rsidP="001F3C8A">
      <w:pPr>
        <w:spacing w:line="560" w:lineRule="exact"/>
        <w:ind w:firstLineChars="224" w:firstLine="717"/>
        <w:rPr>
          <w:rFonts w:eastAsia="仿宋_GB2312"/>
          <w:color w:val="000000"/>
          <w:kern w:val="0"/>
          <w:sz w:val="32"/>
          <w:szCs w:val="32"/>
        </w:rPr>
      </w:pPr>
    </w:p>
    <w:p w:rsidR="00B41C16" w:rsidRPr="001F3C8A" w:rsidRDefault="00B41C16"/>
    <w:sectPr w:rsidR="00B41C16" w:rsidRPr="001F3C8A">
      <w:footerReference w:type="even" r:id="rId4"/>
      <w:footerReference w:type="default" r:id="rId5"/>
      <w:pgSz w:w="11907" w:h="16840"/>
      <w:pgMar w:top="1440" w:right="1474" w:bottom="1440" w:left="1588" w:header="851" w:footer="992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variable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3C8A">
    <w:pPr>
      <w:pStyle w:val="a3"/>
      <w:framePr w:wrap="around" w:vAnchor="text" w:hAnchor="margin" w:xAlign="outside" w:y="1"/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>
      <w:rPr>
        <w:rStyle w:val="a4"/>
      </w:rPr>
      <w:t>- 1 -</w:t>
    </w:r>
    <w:r>
      <w:rPr>
        <w:rStyle w:val="a4"/>
      </w:rPr>
      <w:fldChar w:fldCharType="end"/>
    </w:r>
  </w:p>
  <w:p w:rsidR="00000000" w:rsidRDefault="001F3C8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3C8A">
    <w:pPr>
      <w:pStyle w:val="a3"/>
      <w:framePr w:wrap="around" w:vAnchor="text" w:hAnchor="margin" w:xAlign="outside" w:y="1"/>
      <w:rPr>
        <w:rFonts w:ascii="宋体" w:hint="eastAsia"/>
        <w:sz w:val="28"/>
      </w:rPr>
    </w:pPr>
    <w:r>
      <w:rPr>
        <w:rStyle w:val="a4"/>
        <w:rFonts w:ascii="宋体" w:hint="eastAsia"/>
        <w:sz w:val="28"/>
      </w:rPr>
      <w:fldChar w:fldCharType="begin"/>
    </w:r>
    <w:r>
      <w:rPr>
        <w:rStyle w:val="a4"/>
        <w:rFonts w:ascii="宋体" w:hint="eastAsia"/>
        <w:sz w:val="28"/>
      </w:rPr>
      <w:instrText>Page</w:instrText>
    </w:r>
    <w:r>
      <w:rPr>
        <w:rStyle w:val="a4"/>
        <w:rFonts w:ascii="宋体" w:hint="eastAsia"/>
        <w:sz w:val="28"/>
      </w:rPr>
      <w:fldChar w:fldCharType="separate"/>
    </w:r>
    <w:r>
      <w:rPr>
        <w:rStyle w:val="a4"/>
        <w:rFonts w:ascii="宋体"/>
        <w:noProof/>
        <w:sz w:val="28"/>
      </w:rPr>
      <w:t>- 4 -</w:t>
    </w:r>
    <w:r>
      <w:rPr>
        <w:rStyle w:val="a4"/>
        <w:rFonts w:ascii="宋体" w:hint="eastAsia"/>
        <w:sz w:val="28"/>
      </w:rPr>
      <w:fldChar w:fldCharType="end"/>
    </w:r>
  </w:p>
  <w:p w:rsidR="00000000" w:rsidRDefault="001F3C8A">
    <w:pPr>
      <w:pStyle w:val="a3"/>
      <w:ind w:right="360" w:firstLine="360"/>
      <w:rPr>
        <w:rFonts w:ascii="宋体" w:hint="eastAsia"/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C8A"/>
    <w:rsid w:val="001F3C8A"/>
    <w:rsid w:val="00B4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3C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F3C8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F3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407</Words>
  <Characters>2322</Characters>
  <Application>Microsoft Office Word</Application>
  <DocSecurity>0</DocSecurity>
  <Lines>19</Lines>
  <Paragraphs>5</Paragraphs>
  <ScaleCrop>false</ScaleCrop>
  <Company>MS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黄忠林</dc:creator>
  <cp:lastModifiedBy>黄忠林</cp:lastModifiedBy>
  <cp:revision>1</cp:revision>
  <dcterms:created xsi:type="dcterms:W3CDTF">2019-01-15T06:51:00Z</dcterms:created>
  <dcterms:modified xsi:type="dcterms:W3CDTF">2019-01-15T06:52:00Z</dcterms:modified>
</cp:coreProperties>
</file>